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7" w:rsidRPr="00320C55" w:rsidRDefault="00531AE7" w:rsidP="00304671">
      <w:pPr>
        <w:pStyle w:val="Ttulo"/>
        <w:spacing w:after="120"/>
        <w:ind w:firstLine="142"/>
        <w:jc w:val="center"/>
        <w:rPr>
          <w:rFonts w:eastAsia="Gulim"/>
        </w:rPr>
      </w:pPr>
      <w:r w:rsidRPr="00320C55">
        <w:rPr>
          <w:rFonts w:eastAsia="Gulim"/>
        </w:rPr>
        <w:t>ADPRA rechaza el Decreto que flexibiliza la venta de tierras a extranjeros</w:t>
      </w:r>
    </w:p>
    <w:p w:rsidR="0037178D" w:rsidRPr="00320C55" w:rsidRDefault="00E807E6" w:rsidP="00F00D58">
      <w:pPr>
        <w:spacing w:after="120" w:line="240" w:lineRule="auto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</w:rPr>
      </w:pPr>
      <w:r w:rsidRPr="00320C55">
        <w:rPr>
          <w:rFonts w:ascii="Gulim" w:eastAsia="Gulim" w:hAnsi="Gulim" w:cstheme="minorHAnsi"/>
          <w:sz w:val="28"/>
          <w:szCs w:val="28"/>
        </w:rPr>
        <w:t>Defensores del Pueblo de la República Argentina</w:t>
      </w:r>
      <w:r w:rsidR="00F00D58">
        <w:rPr>
          <w:rFonts w:ascii="Gulim" w:eastAsia="Gulim" w:hAnsi="Gulim" w:cstheme="minorHAnsi"/>
          <w:sz w:val="28"/>
          <w:szCs w:val="28"/>
        </w:rPr>
        <w:t xml:space="preserve">, </w:t>
      </w:r>
      <w:r w:rsidR="007005B1" w:rsidRPr="00320C55">
        <w:rPr>
          <w:rFonts w:ascii="Gulim" w:eastAsia="Gulim" w:hAnsi="Gulim" w:cstheme="minorHAnsi"/>
          <w:sz w:val="28"/>
          <w:szCs w:val="28"/>
        </w:rPr>
        <w:t xml:space="preserve">reunidos en </w:t>
      </w:r>
      <w:r w:rsidRPr="00320C55">
        <w:rPr>
          <w:rFonts w:ascii="Gulim" w:eastAsia="Gulim" w:hAnsi="Gulim" w:cstheme="minorHAnsi"/>
          <w:sz w:val="28"/>
          <w:szCs w:val="28"/>
        </w:rPr>
        <w:t xml:space="preserve">el IV Plenario de ADPRA en la ciudad de Bariloche, expresaron su rechazo 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al Decreto </w:t>
      </w:r>
      <w:r w:rsidR="00531AE7" w:rsidRPr="00320C55">
        <w:rPr>
          <w:rFonts w:ascii="Gulim" w:eastAsia="Gulim" w:hAnsi="Gulim" w:cstheme="minorHAnsi"/>
          <w:color w:val="000000"/>
          <w:sz w:val="28"/>
          <w:szCs w:val="28"/>
        </w:rPr>
        <w:t>que pretende modificar</w:t>
      </w:r>
      <w:r w:rsidRPr="00320C55">
        <w:rPr>
          <w:rStyle w:val="apple-converted-space"/>
          <w:rFonts w:ascii="Gulim" w:eastAsia="Gulim" w:hAnsi="Gulim" w:cstheme="minorHAnsi"/>
          <w:color w:val="000000"/>
          <w:sz w:val="28"/>
          <w:szCs w:val="28"/>
        </w:rPr>
        <w:t> </w:t>
      </w:r>
      <w:r w:rsidR="007005B1" w:rsidRPr="00320C55">
        <w:rPr>
          <w:rFonts w:ascii="Gulim" w:eastAsia="Gulim" w:hAnsi="Gulim" w:cstheme="minorHAnsi"/>
          <w:color w:val="000000"/>
          <w:sz w:val="28"/>
          <w:szCs w:val="28"/>
        </w:rPr>
        <w:t>la Ley Nacional 26</w:t>
      </w:r>
      <w:r w:rsidR="007958B5" w:rsidRPr="00320C55">
        <w:rPr>
          <w:rFonts w:ascii="Gulim" w:eastAsia="Gulim" w:hAnsi="Gulim" w:cstheme="minorHAnsi"/>
          <w:color w:val="000000"/>
          <w:sz w:val="28"/>
          <w:szCs w:val="28"/>
        </w:rPr>
        <w:t>.</w:t>
      </w:r>
      <w:r w:rsidR="007005B1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737, 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denominada Tierras </w:t>
      </w:r>
      <w:r w:rsidR="00304671">
        <w:rPr>
          <w:rFonts w:ascii="Gulim" w:eastAsia="Gulim" w:hAnsi="Gulim" w:cstheme="minorHAnsi"/>
          <w:color w:val="000000"/>
          <w:sz w:val="28"/>
          <w:szCs w:val="28"/>
        </w:rPr>
        <w:t>Rurales-</w:t>
      </w:r>
      <w:r w:rsidR="007005B1" w:rsidRPr="00320C55">
        <w:rPr>
          <w:rFonts w:ascii="Gulim" w:eastAsia="Gulim" w:hAnsi="Gulim" w:cstheme="minorHAnsi"/>
          <w:color w:val="000000"/>
          <w:sz w:val="28"/>
          <w:szCs w:val="28"/>
        </w:rPr>
        <w:t>Régimen de Protección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>, por considerarlo contrario</w:t>
      </w:r>
      <w:r w:rsidR="007958B5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a la Ley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>.</w:t>
      </w:r>
    </w:p>
    <w:p w:rsidR="00E807E6" w:rsidRPr="00320C55" w:rsidRDefault="007005B1" w:rsidP="00F00D58">
      <w:pPr>
        <w:spacing w:after="120" w:line="240" w:lineRule="auto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</w:rPr>
      </w:pPr>
      <w:r w:rsidRPr="00320C55">
        <w:rPr>
          <w:rFonts w:ascii="Gulim" w:eastAsia="Gulim" w:hAnsi="Gulim" w:cstheme="minorHAnsi"/>
          <w:color w:val="000000"/>
          <w:sz w:val="28"/>
          <w:szCs w:val="28"/>
        </w:rPr>
        <w:t>Varias provincias del país ya interpusieron accio</w:t>
      </w:r>
      <w:r w:rsidR="00450A34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nes de amparo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>solicita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ndo la inconstitucionalidad de dicho Decreto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>por</w:t>
      </w:r>
      <w:r w:rsidR="00450A34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atentar éste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contra el espíritu de la norma sancionada por el Congreso de la Nación.</w:t>
      </w:r>
      <w:r w:rsidR="00450A34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>El propio</w:t>
      </w:r>
      <w:r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título de la Ley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indica su espíritu proteccionista respecto </w:t>
      </w:r>
      <w:r w:rsidR="0037178D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a los recursos naturales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y </w:t>
      </w:r>
      <w:r w:rsidR="0037178D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mantiene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>la vigencia de los pri</w:t>
      </w:r>
      <w:r w:rsidR="00F00D58">
        <w:rPr>
          <w:rFonts w:ascii="Gulim" w:eastAsia="Gulim" w:hAnsi="Gulim" w:cstheme="minorHAnsi"/>
          <w:color w:val="000000"/>
          <w:sz w:val="28"/>
          <w:szCs w:val="28"/>
        </w:rPr>
        <w:t>ncipios de protección ambiental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</w:rPr>
        <w:t xml:space="preserve"> y soberanía nacional que enarbola.</w:t>
      </w:r>
    </w:p>
    <w:p w:rsidR="0037178D" w:rsidRPr="00F00D58" w:rsidRDefault="0037178D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Al emitirs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este nuevo Decreto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se establecen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figura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s jurídicas no prev</w:t>
      </w:r>
      <w:r w:rsidR="007958B5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istas, se afecta</w:t>
      </w:r>
      <w:r w:rsidR="00450A34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la división de pod</w:t>
      </w:r>
      <w:r w:rsidR="007958B5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eres y las autonomías provinciales</w:t>
      </w:r>
      <w:r w:rsidR="00450A34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, puesto que</w:t>
      </w:r>
      <w:r w:rsidR="0060009B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no sólo flexibilizan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los requisitos a extranjeros para adquirir tierras y desregula los controles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, sino que puede provocar daños irreversibles 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ante la invocación de derechos adquiridos por parte de poderosas personas físicas o jurídicas extranjeras, quienes no sólo adquieren la propiedad sino recursos naturales estratégicos. </w:t>
      </w:r>
    </w:p>
    <w:p w:rsidR="00E807E6" w:rsidRPr="00F00D58" w:rsidRDefault="0037178D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Otra objeción señalada p</w:t>
      </w:r>
      <w:r w:rsidR="0060009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or Defensores y Defensoras del P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ueblo del país,  es que dicho Decreto no contiene normas sobre materia fiscal de alcance a extranjeros, </w:t>
      </w:r>
      <w:r w:rsidR="00450A34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como tampoco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inter</w:t>
      </w:r>
      <w:r w:rsidR="00450A34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vención de la AFIP o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la Unidad de Información Financiera,</w:t>
      </w:r>
      <w:r w:rsidRPr="00F00D58">
        <w:rPr>
          <w:rFonts w:cstheme="minorHAnsi"/>
          <w:sz w:val="28"/>
          <w:szCs w:val="28"/>
          <w:lang w:eastAsia="en-US"/>
        </w:rPr>
        <w:t> </w:t>
      </w:r>
      <w:r w:rsidR="00450A34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provocando que sea más fácil para una extranjero comprar tierra que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un auto de $70.000 d</w:t>
      </w:r>
      <w:r w:rsidR="00450A34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onde para titularizarlo debe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obtener de AFIP e</w:t>
      </w:r>
      <w:r w:rsidR="0060009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l correspondiente Formulario.</w:t>
      </w:r>
    </w:p>
    <w:p w:rsidR="00E807E6" w:rsidRPr="00320C55" w:rsidRDefault="00450A34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lastRenderedPageBreak/>
        <w:t>Recordemos que la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Ley 26</w:t>
      </w:r>
      <w:r w:rsidR="007958B5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.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737 estableció en un 15% el límite a toda titularidad de dominio o posesión de tierras rurales a partir de lo cual los extranjeros no podía adquirir más de mil hectáreas (arts. 8 y </w:t>
      </w:r>
      <w:r w:rsidR="00E807E6" w:rsidRPr="00F00D58">
        <w:rPr>
          <w:lang w:eastAsia="en-US"/>
        </w:rPr>
        <w:t> 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10). El decreto 820/16 flexibiliza los requisitos</w:t>
      </w:r>
      <w:r w:rsidR="0039340C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y los límites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para que extranjeros o empresas por ellos constituidas adquieran tierras en nuestro país, </w:t>
      </w:r>
      <w:r w:rsidR="0039340C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bajo pretexto de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alentar inversiones.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Defensoras</w:t>
      </w:r>
      <w:r w:rsidR="0060009B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y Defensores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consideran que</w:t>
      </w:r>
      <w:r w:rsidR="0060009B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de este modo </w:t>
      </w:r>
      <w:r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se altera el espíritu de la Ley, por lo tanto,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</w:t>
      </w:r>
      <w:r w:rsidR="0060009B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es </w:t>
      </w:r>
      <w:r w:rsidR="00E807E6" w:rsidRPr="00320C55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pasible de ser objetado por inconstitucional.</w:t>
      </w:r>
    </w:p>
    <w:p w:rsidR="007005B1" w:rsidRPr="00F00D58" w:rsidRDefault="00E807E6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Ante la gravedad institucional que implicaría la alteración de una L</w:t>
      </w:r>
      <w:r w:rsidR="0060009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ey nacional mediante un D</w:t>
      </w:r>
      <w:r w:rsidR="00450A34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ecreto</w:t>
      </w:r>
      <w:r w:rsidR="0060009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, miembros da ADPRA</w:t>
      </w:r>
      <w:r w:rsidR="00531AE7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, a iniciativa de la Defensoría del Pueblo de Bariloche, expresa</w:t>
      </w:r>
      <w:r w:rsidR="0039340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su rechazo y anuncian que formularán</w:t>
      </w:r>
      <w:r w:rsidR="0060009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presentaciones correspondi</w:t>
      </w:r>
      <w:r w:rsidR="00531AE7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entes para ser entregadas</w:t>
      </w:r>
      <w:r w:rsidR="0039340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a</w:t>
      </w:r>
      <w:r w:rsid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nte el Poder Ejecutivo Nacional.</w:t>
      </w:r>
    </w:p>
    <w:p w:rsidR="00E807E6" w:rsidRDefault="00531AE7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Participaron del I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N Plenario de ADPRA las Defen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sorías del Pueblo de Bariloche, Provincia de Río Negro, Ciudad Autónoma de Buenos Aires, Provincia de Santa Fe, Defensoría de Niños, Niñas y Adolescentes de Santa Fe; provincia de Santiago del Es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t</w:t>
      </w:r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ero, Provincia de Chaco, ciudad de </w:t>
      </w:r>
      <w:proofErr w:type="spellStart"/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Virasoro</w:t>
      </w:r>
      <w:proofErr w:type="spellEnd"/>
      <w:r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(Corrientes); ciudad de Paraná; provincia de Córdoba, ciudad d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e Río Cuarto; 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ciudad de Centenario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(Neuquén)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; Ciudad de Zapala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(Neuquén)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; ciudad de San Martín de los Andes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 (Neuquén)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; provincia de Chubut; Partido de Escobar; ciudad de La Plata; provincia de Buenos Aires, Partido de Pueyrredón;  partido de Vicente López; par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tido de Pilar, p</w:t>
      </w:r>
      <w:r w:rsidR="005F3A8B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 xml:space="preserve">artido de Morón; Defensorías de Niños, Niñas y Adolescentes de La </w:t>
      </w:r>
      <w:r w:rsidR="00516B6C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Pampa; D</w:t>
      </w:r>
      <w:r w:rsidR="00F567D7" w:rsidRPr="00F00D58">
        <w:rPr>
          <w:rFonts w:ascii="Gulim" w:eastAsia="Gulim" w:hAnsi="Gulim" w:cstheme="minorHAnsi"/>
          <w:color w:val="000000"/>
          <w:sz w:val="28"/>
          <w:szCs w:val="28"/>
          <w:lang w:eastAsia="en-US"/>
        </w:rPr>
        <w:t>efensoría del Pueblo de Nación.</w:t>
      </w:r>
    </w:p>
    <w:p w:rsidR="009B4CD1" w:rsidRDefault="009B4CD1" w:rsidP="00F00D58">
      <w:pPr>
        <w:pStyle w:val="NormalWeb"/>
        <w:shd w:val="clear" w:color="auto" w:fill="FFFFFF"/>
        <w:spacing w:before="0" w:beforeAutospacing="0" w:after="120" w:afterAutospacing="0"/>
        <w:ind w:firstLine="142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</w:p>
    <w:p w:rsidR="00664BEE" w:rsidRDefault="00664BEE" w:rsidP="00664BE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</w:p>
    <w:p w:rsidR="00664BEE" w:rsidRDefault="00664BEE" w:rsidP="00664BE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Gulim" w:eastAsia="Gulim" w:hAnsi="Gulim" w:cstheme="minorHAnsi"/>
          <w:color w:val="000000"/>
          <w:sz w:val="28"/>
          <w:szCs w:val="28"/>
          <w:lang w:eastAsia="en-US"/>
        </w:rPr>
      </w:pPr>
    </w:p>
    <w:sectPr w:rsidR="00664BEE" w:rsidSect="00A81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98" w:rsidRDefault="00CD6D98" w:rsidP="00DA082B">
      <w:pPr>
        <w:spacing w:after="0" w:line="240" w:lineRule="auto"/>
      </w:pPr>
      <w:r>
        <w:separator/>
      </w:r>
    </w:p>
  </w:endnote>
  <w:endnote w:type="continuationSeparator" w:id="0">
    <w:p w:rsidR="00CD6D98" w:rsidRDefault="00CD6D98" w:rsidP="00DA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EE" w:rsidRDefault="00664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8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14"/>
    </w:tblGrid>
    <w:tr w:rsidR="009B4CD1" w:rsidTr="009B4CD1">
      <w:trPr>
        <w:trHeight w:val="80"/>
      </w:trPr>
      <w:tc>
        <w:tcPr>
          <w:tcW w:w="8115" w:type="dxa"/>
        </w:tcPr>
        <w:p w:rsidR="00664BEE" w:rsidRPr="00A81F03" w:rsidRDefault="00664BEE" w:rsidP="00664BEE">
          <w:pPr>
            <w:pStyle w:val="Piedepgina"/>
            <w:jc w:val="center"/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</w:pPr>
          <w:bookmarkStart w:id="0" w:name="_GoBack"/>
          <w:bookmarkEnd w:id="0"/>
          <w:r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C</w:t>
          </w:r>
          <w:r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omunicación Institucional</w:t>
          </w:r>
        </w:p>
        <w:p w:rsidR="00664BEE" w:rsidRPr="00A81F03" w:rsidRDefault="00664BEE" w:rsidP="00664BEE">
          <w:pPr>
            <w:pStyle w:val="Piedepgina"/>
            <w:jc w:val="center"/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</w:pPr>
          <w:r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Defensoría del Pueblo de Bariloche</w:t>
          </w:r>
        </w:p>
        <w:p w:rsidR="009B4CD1" w:rsidRDefault="00664BEE" w:rsidP="00664BEE">
          <w:pPr>
            <w:pStyle w:val="Piedepgina"/>
            <w:jc w:val="center"/>
          </w:pPr>
          <w:r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TE: (0294) 442-3147/442-4121/154-665 5062</w:t>
          </w:r>
        </w:p>
      </w:tc>
    </w:tr>
  </w:tbl>
  <w:p w:rsidR="00A81F03" w:rsidRPr="00A81F03" w:rsidRDefault="00A81F03" w:rsidP="00866890">
    <w:pPr>
      <w:pStyle w:val="Piedepgina"/>
      <w:jc w:val="center"/>
      <w:rPr>
        <w:color w:val="7F7F7F" w:themeColor="text1" w:themeTint="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755"/>
    </w:tblGrid>
    <w:tr w:rsidR="00A81F03" w:rsidTr="00A81F03">
      <w:tc>
        <w:tcPr>
          <w:tcW w:w="8755" w:type="dxa"/>
        </w:tcPr>
        <w:p w:rsidR="00A81F03" w:rsidRPr="00A81F03" w:rsidRDefault="009B4CD1" w:rsidP="00A81F03">
          <w:pPr>
            <w:pStyle w:val="Piedepgina"/>
            <w:jc w:val="center"/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</w:pPr>
          <w:r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C</w:t>
          </w:r>
          <w:r w:rsidR="00A81F03"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omunicación Institucional</w:t>
          </w:r>
        </w:p>
        <w:p w:rsidR="00A81F03" w:rsidRPr="00A81F03" w:rsidRDefault="00A81F03" w:rsidP="00A81F03">
          <w:pPr>
            <w:pStyle w:val="Piedepgina"/>
            <w:jc w:val="center"/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</w:pPr>
          <w:r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Defensoría del Pueblo de Bariloche</w:t>
          </w:r>
        </w:p>
        <w:p w:rsidR="00A81F03" w:rsidRPr="00DA082B" w:rsidRDefault="00A81F03" w:rsidP="00A81F03">
          <w:pPr>
            <w:pStyle w:val="Piedepgina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r w:rsidRPr="00A81F03">
            <w:rPr>
              <w:rFonts w:ascii="Gulim" w:eastAsia="Gulim" w:hAnsi="Gulim"/>
              <w:b/>
              <w:bCs/>
              <w:color w:val="7F7F7F" w:themeColor="text1" w:themeTint="80"/>
              <w:sz w:val="18"/>
              <w:szCs w:val="18"/>
            </w:rPr>
            <w:t>TE: (0294) 442-3147/442-4121/154-665 5062</w:t>
          </w:r>
        </w:p>
      </w:tc>
    </w:tr>
  </w:tbl>
  <w:p w:rsidR="00DA082B" w:rsidRDefault="00DA08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98" w:rsidRDefault="00CD6D98" w:rsidP="00DA082B">
      <w:pPr>
        <w:spacing w:after="0" w:line="240" w:lineRule="auto"/>
      </w:pPr>
      <w:r>
        <w:separator/>
      </w:r>
    </w:p>
  </w:footnote>
  <w:footnote w:type="continuationSeparator" w:id="0">
    <w:p w:rsidR="00CD6D98" w:rsidRDefault="00CD6D98" w:rsidP="00DA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EE" w:rsidRDefault="00664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EE" w:rsidRDefault="00664B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EE" w:rsidRDefault="00664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7E6"/>
    <w:rsid w:val="00043CE9"/>
    <w:rsid w:val="00304671"/>
    <w:rsid w:val="00320C55"/>
    <w:rsid w:val="0037178D"/>
    <w:rsid w:val="0039340C"/>
    <w:rsid w:val="00450A34"/>
    <w:rsid w:val="00516B6C"/>
    <w:rsid w:val="00531AE7"/>
    <w:rsid w:val="00540ABD"/>
    <w:rsid w:val="005F3A8B"/>
    <w:rsid w:val="0060009B"/>
    <w:rsid w:val="00664BEE"/>
    <w:rsid w:val="007005B1"/>
    <w:rsid w:val="007958B5"/>
    <w:rsid w:val="007C1042"/>
    <w:rsid w:val="00866890"/>
    <w:rsid w:val="009B4CD1"/>
    <w:rsid w:val="00A81F03"/>
    <w:rsid w:val="00C142DC"/>
    <w:rsid w:val="00CD6D98"/>
    <w:rsid w:val="00DA082B"/>
    <w:rsid w:val="00E807E6"/>
    <w:rsid w:val="00ED2654"/>
    <w:rsid w:val="00F00D58"/>
    <w:rsid w:val="00F5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807E6"/>
  </w:style>
  <w:style w:type="paragraph" w:styleId="Ttulo">
    <w:name w:val="Title"/>
    <w:basedOn w:val="Normal"/>
    <w:next w:val="Normal"/>
    <w:link w:val="TtuloCar"/>
    <w:uiPriority w:val="10"/>
    <w:qFormat/>
    <w:rsid w:val="00320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0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A0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82B"/>
  </w:style>
  <w:style w:type="paragraph" w:styleId="Piedepgina">
    <w:name w:val="footer"/>
    <w:basedOn w:val="Normal"/>
    <w:link w:val="PiedepginaCar"/>
    <w:uiPriority w:val="99"/>
    <w:unhideWhenUsed/>
    <w:rsid w:val="00DA0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2B"/>
  </w:style>
  <w:style w:type="paragraph" w:styleId="Textodeglobo">
    <w:name w:val="Balloon Text"/>
    <w:basedOn w:val="Normal"/>
    <w:link w:val="TextodegloboCar"/>
    <w:uiPriority w:val="99"/>
    <w:semiHidden/>
    <w:unhideWhenUsed/>
    <w:rsid w:val="0086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807E6"/>
  </w:style>
  <w:style w:type="paragraph" w:styleId="Ttulo">
    <w:name w:val="Title"/>
    <w:basedOn w:val="Normal"/>
    <w:next w:val="Normal"/>
    <w:link w:val="TtuloCar"/>
    <w:uiPriority w:val="10"/>
    <w:qFormat/>
    <w:rsid w:val="00320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0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A0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82B"/>
  </w:style>
  <w:style w:type="paragraph" w:styleId="Piedepgina">
    <w:name w:val="footer"/>
    <w:basedOn w:val="Normal"/>
    <w:link w:val="PiedepginaCar"/>
    <w:uiPriority w:val="99"/>
    <w:unhideWhenUsed/>
    <w:rsid w:val="00DA0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2B"/>
  </w:style>
  <w:style w:type="paragraph" w:styleId="Textodeglobo">
    <w:name w:val="Balloon Text"/>
    <w:basedOn w:val="Normal"/>
    <w:link w:val="TextodegloboCar"/>
    <w:uiPriority w:val="99"/>
    <w:semiHidden/>
    <w:unhideWhenUsed/>
    <w:rsid w:val="0086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W7</cp:lastModifiedBy>
  <cp:revision>2</cp:revision>
  <cp:lastPrinted>2016-11-04T16:31:00Z</cp:lastPrinted>
  <dcterms:created xsi:type="dcterms:W3CDTF">2017-01-16T15:42:00Z</dcterms:created>
  <dcterms:modified xsi:type="dcterms:W3CDTF">2017-01-16T15:42:00Z</dcterms:modified>
</cp:coreProperties>
</file>